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spacing w:after="0" w:line="264" w:lineRule="auto"/>
        <w:ind w:firstLine="0" w:left="-1440" w:right="402"/>
        <w:jc w:val="left"/>
      </w:pPr>
    </w:p>
    <w:tbl>
      <w:tblPr>
        <w:tblStyle w:val="Style_1"/>
        <w:tblInd w:type="dxa" w:w="907"/>
        <w:tblLayout w:type="fixed"/>
        <w:tblCellMar>
          <w:top w:type="dxa" w:w="20"/>
          <w:left w:type="dxa" w:w="41"/>
          <w:right w:type="dxa" w:w="108"/>
        </w:tblCellMar>
      </w:tblPr>
      <w:tblGrid>
        <w:gridCol w:w="1011"/>
        <w:gridCol w:w="12838"/>
        <w:gridCol w:w="4122"/>
      </w:tblGrid>
      <w:tr>
        <w:trPr>
          <w:trHeight w:hRule="atLeast" w:val="117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0"/>
              <w:left w:type="dxa" w:w="41"/>
              <w:right w:type="dxa" w:w="108"/>
            </w:tcMar>
          </w:tcPr>
          <w:p w14:paraId="07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16960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08000000">
            <w:pPr>
              <w:spacing w:after="0" w:line="264" w:lineRule="auto"/>
              <w:ind w:firstLine="0" w:left="2123" w:right="0"/>
              <w:jc w:val="left"/>
            </w:pPr>
            <w:r>
              <w:rPr>
                <w:b w:val="1"/>
                <w:sz w:val="32"/>
              </w:rPr>
              <w:t>Доклад о виде государственного контроля (надзора), муниципального контроля</w:t>
            </w:r>
          </w:p>
        </w:tc>
      </w:tr>
      <w:tr>
        <w:trPr>
          <w:trHeight w:hRule="atLeast" w:val="812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0"/>
              <w:left w:type="dxa" w:w="41"/>
              <w:right w:type="dxa" w:w="108"/>
            </w:tcMar>
          </w:tcPr>
          <w:p w14:paraId="09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16960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0A000000">
            <w:pPr>
              <w:spacing w:after="0" w:line="264" w:lineRule="auto"/>
              <w:ind w:firstLine="0" w:left="1687" w:right="0"/>
              <w:jc w:val="left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 xml:space="preserve">Наименование вида государственного контроля (надзора), муниципального контроля </w:t>
            </w:r>
          </w:p>
          <w:p w14:paraId="0B000000">
            <w:pPr>
              <w:spacing w:after="0" w:line="264" w:lineRule="auto"/>
              <w:ind w:firstLine="0" w:left="1687" w:right="0"/>
              <w:jc w:val="center"/>
            </w:pPr>
            <w:r>
              <w:t>Р</w:t>
            </w:r>
            <w:r>
              <w:t>егиональн</w:t>
            </w:r>
            <w:r>
              <w:t>ый</w:t>
            </w:r>
            <w:r>
              <w:t xml:space="preserve"> государственн</w:t>
            </w:r>
            <w:r>
              <w:t>ый</w:t>
            </w:r>
            <w:r>
              <w:t xml:space="preserve"> надзор в области защиты населения и территорий от чрезвычайных ситуаций на территории Камчатского края</w:t>
            </w:r>
          </w:p>
        </w:tc>
      </w:tr>
      <w:tr>
        <w:trPr>
          <w:trHeight w:hRule="atLeast" w:val="79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0"/>
              <w:left w:type="dxa" w:w="41"/>
              <w:right w:type="dxa" w:w="108"/>
            </w:tcMar>
          </w:tcPr>
          <w:p w14:paraId="0C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16960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0D000000">
            <w:pPr>
              <w:spacing w:after="0" w:line="264" w:lineRule="auto"/>
              <w:ind w:firstLine="0" w:left="0" w:right="949"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Наименование контрольного (надзорного) органа</w:t>
            </w:r>
          </w:p>
          <w:p w14:paraId="0E000000">
            <w:pPr>
              <w:spacing w:after="0" w:line="264" w:lineRule="auto"/>
              <w:ind w:firstLine="0" w:left="0" w:right="949"/>
              <w:jc w:val="center"/>
            </w:pPr>
            <w:r>
              <w:t>Министерство по чрезвычайным ситуациям Камчатского края</w:t>
            </w:r>
          </w:p>
        </w:tc>
      </w:tr>
      <w:tr>
        <w:trPr>
          <w:trHeight w:hRule="atLeast" w:val="767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0"/>
              <w:left w:type="dxa" w:w="41"/>
              <w:right w:type="dxa" w:w="108"/>
            </w:tcMar>
            <w:vAlign w:val="bottom"/>
          </w:tcPr>
          <w:p w14:paraId="0F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16960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10000000">
            <w:pPr>
              <w:spacing w:after="0" w:line="264" w:lineRule="auto"/>
              <w:ind w:firstLine="0" w:left="0" w:right="946"/>
              <w:jc w:val="center"/>
              <w:rPr>
                <w:b w:val="1"/>
                <w:sz w:val="32"/>
              </w:rPr>
            </w:pPr>
            <w:r>
              <w:rPr>
                <w:b w:val="1"/>
                <w:sz w:val="32"/>
              </w:rPr>
              <w:t>Наименование субъекта Российской Федерации</w:t>
            </w:r>
          </w:p>
          <w:p w14:paraId="11000000">
            <w:pPr>
              <w:spacing w:after="0" w:line="264" w:lineRule="auto"/>
              <w:ind w:firstLine="0" w:left="0" w:right="946"/>
              <w:jc w:val="center"/>
            </w:pPr>
            <w:r>
              <w:t>Камчатский край</w:t>
            </w:r>
          </w:p>
        </w:tc>
      </w:tr>
      <w:tr>
        <w:trPr>
          <w:trHeight w:hRule="atLeast" w:val="75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sz="4" w:val="nil"/>
            </w:tcBorders>
            <w:tcMar>
              <w:top w:type="dxa" w:w="20"/>
              <w:left w:type="dxa" w:w="41"/>
              <w:right w:type="dxa" w:w="108"/>
            </w:tcMar>
          </w:tcPr>
          <w:p w14:paraId="12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16960"/>
            <w:gridSpan w:val="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13000000">
            <w:pPr>
              <w:spacing w:after="0" w:line="264" w:lineRule="auto"/>
              <w:ind w:firstLine="0" w:left="0" w:right="947"/>
              <w:jc w:val="center"/>
            </w:pPr>
            <w:r>
              <w:rPr>
                <w:b w:val="1"/>
                <w:sz w:val="32"/>
              </w:rPr>
              <w:t>Наименование муниципального образования</w:t>
            </w:r>
          </w:p>
        </w:tc>
      </w:tr>
      <w:tr>
        <w:trPr>
          <w:trHeight w:hRule="atLeast" w:val="347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14000000">
            <w:pPr>
              <w:spacing w:after="160" w:line="264" w:lineRule="auto"/>
              <w:ind w:firstLine="0" w:left="0" w:right="0"/>
              <w:jc w:val="left"/>
            </w:pP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15000000">
            <w:pPr>
              <w:spacing w:after="0" w:line="264" w:lineRule="auto"/>
              <w:ind w:firstLine="0" w:left="65" w:right="0"/>
              <w:jc w:val="center"/>
            </w:pPr>
            <w:r>
              <w:rPr>
                <w:b w:val="1"/>
              </w:rPr>
              <w:t>Наименование показателей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16000000">
            <w:pPr>
              <w:spacing w:after="0" w:line="264" w:lineRule="auto"/>
              <w:ind w:firstLine="0" w:left="83" w:right="0"/>
              <w:jc w:val="center"/>
            </w:pPr>
            <w:r>
              <w:rPr>
                <w:b w:val="1"/>
              </w:rPr>
              <w:t>Поля для ответа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17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1800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19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1A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1B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1C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1D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1E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1F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0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1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22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3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4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объявление предостережения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5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6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7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28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29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A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  <w:r>
              <w:rPr>
                <w:sz w:val="24"/>
              </w:rPr>
              <w:t xml:space="preserve"> (количество фактов прохождения </w:t>
            </w:r>
            <w:r>
              <w:rPr>
                <w:sz w:val="24"/>
              </w:rPr>
              <w:t>самообследования</w:t>
            </w:r>
            <w:r>
              <w:rPr>
                <w:sz w:val="24"/>
              </w:rPr>
              <w:t xml:space="preserve"> на официальном сайте контрольного (надзорного) органа), из них: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B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2C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D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самообследований</w:t>
            </w:r>
            <w:r>
              <w:rPr>
                <w:sz w:val="24"/>
              </w:rPr>
              <w:t>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E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2F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0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профилактический визит, из них: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1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2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1.7.1.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3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обязательный профилактический визит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34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35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3600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проведенных контрольных (надзорных) мероприятий (проверок) с взаимодействием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7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8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9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плановых, из них: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A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B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C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закупка,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D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E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2.1.1.1.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3F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0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1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2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закупка,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3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4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2.1.2.1.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5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6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7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8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выборочный контроль,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9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A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2.1.3.1.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B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C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D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E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инспекционный визит,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4F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0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2.1.4.1.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1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2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3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4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рейдовый осмотр,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5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6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2.1.5.1.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7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8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9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A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документарная проверка,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B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C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2.1.6.1.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D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E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5F000000">
            <w:pPr>
              <w:spacing w:after="0" w:line="264" w:lineRule="auto"/>
              <w:ind w:firstLine="0" w:left="70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2.1.7.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0000000">
            <w:pPr>
              <w:spacing w:after="0" w:line="264" w:lineRule="auto"/>
              <w:ind w:firstLine="0" w:left="758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выездная проверка,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1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2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2.1.7.1.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3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4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5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6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внеплановых, из них: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7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8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9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закупка,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A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B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2.2.1.1.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C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bottom"/>
          </w:tcPr>
          <w:p w14:paraId="6D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E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6F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мониторинговая закупка,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0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1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2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3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4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5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выборочный контроль,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6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7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2.2.3.1.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8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9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A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B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инспекционный визит,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C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D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2.2.4.1.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7E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7F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0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1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рейдовый осмотр,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2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3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2.2.5.1.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4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85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6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2.2.6.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7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документарная проверка,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88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9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2.2.6.1.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A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B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C000000">
            <w:pPr>
              <w:spacing w:after="0" w:line="264" w:lineRule="auto"/>
              <w:ind w:firstLine="0" w:left="70" w:right="0"/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2.2.7.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D000000">
            <w:pPr>
              <w:spacing w:after="0" w:line="264" w:lineRule="auto"/>
              <w:ind w:firstLine="0" w:left="758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выездная проверка,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E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8F000000">
            <w:pPr>
              <w:spacing w:after="0" w:line="264" w:lineRule="auto"/>
              <w:ind w:firstLine="0" w:left="104" w:right="0"/>
              <w:jc w:val="left"/>
              <w:rPr>
                <w:sz w:val="24"/>
              </w:rPr>
            </w:pPr>
            <w:r>
              <w:rPr>
                <w:sz w:val="24"/>
              </w:rPr>
              <w:t>2.2.7.1.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0000000">
            <w:pPr>
              <w:spacing w:after="0" w:line="264" w:lineRule="auto"/>
              <w:ind w:firstLine="0" w:left="1061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1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92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300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действий, совершенных при проведении контрольных (надзорных) мероприятий (проверок)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4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5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6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7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8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9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досмотр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A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B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C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D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E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9F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получение письменных объяснений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0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1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2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истребование документов, из них: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3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A4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5000000">
            <w:pPr>
              <w:spacing w:after="0" w:line="264" w:lineRule="auto"/>
              <w:ind w:firstLine="0" w:left="1061" w:right="235"/>
              <w:rPr>
                <w:sz w:val="24"/>
              </w:rPr>
            </w:pPr>
            <w:r>
              <w:rPr>
                <w:sz w:val="24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6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7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8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отбор проб (образцов)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9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A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B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инструментальное обследование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C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D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E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испытание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AF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0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1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2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3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4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5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B6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700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проведенных контрольных (надзорных) мероприятий без взаимодействия (выездных обследований) (учитывается каждый факт выхода на мероприятие)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8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B9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A00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мероприятий (проверок), проведенных с использованием средств дистанционного взаимодействия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B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C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D00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мероприятий (проверок), проведенных с привлечением: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E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BF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0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экспертных организаций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1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2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3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экспертов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4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5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6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7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C8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9000000">
            <w:pPr>
              <w:spacing w:after="0" w:line="264" w:lineRule="auto"/>
              <w:ind w:firstLine="0" w:left="0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контролируемых лиц, в отношении которых проведены контрольные (надзорные) мероприятия (проверки) с взаимодействием - всего, в том </w:t>
            </w:r>
            <w:r>
              <w:rPr>
                <w:color w:val="000000"/>
                <w:sz w:val="24"/>
              </w:rPr>
              <w:t xml:space="preserve">числе: 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A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B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C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D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  <w:vAlign w:val="center"/>
          </w:tcPr>
          <w:p w14:paraId="CE000000">
            <w:pPr>
              <w:spacing w:after="0" w:line="264" w:lineRule="auto"/>
              <w:ind w:firstLine="0" w:left="70" w:right="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CF000000">
            <w:pPr>
              <w:spacing w:after="0" w:line="264" w:lineRule="auto"/>
              <w:ind w:firstLine="0" w:left="0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объектов контроля, в отношении которых проведены контрольные (надзорные) мероприятия (проверки) с взаимодействием - всего, в том </w:t>
            </w:r>
            <w:r>
              <w:rPr>
                <w:color w:val="000000"/>
                <w:sz w:val="24"/>
              </w:rPr>
              <w:t xml:space="preserve">числе: 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D0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D1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D2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деятельность, действия (бездействие) граждан и организаций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D3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56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D4000000">
            <w:pPr>
              <w:spacing w:after="0" w:line="264" w:lineRule="auto"/>
              <w:ind w:firstLine="0" w:left="67" w:right="0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D5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08"/>
            </w:tcMar>
          </w:tcPr>
          <w:p w14:paraId="D6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D7000000">
      <w:pPr>
        <w:spacing w:after="0" w:line="264" w:lineRule="auto"/>
        <w:ind w:firstLine="0" w:left="-1440" w:right="402"/>
        <w:jc w:val="left"/>
      </w:pPr>
    </w:p>
    <w:tbl>
      <w:tblPr>
        <w:tblStyle w:val="Style_1"/>
        <w:tblInd w:type="dxa" w:w="907"/>
        <w:tblLayout w:type="fixed"/>
        <w:tblCellMar>
          <w:top w:type="dxa" w:w="20"/>
          <w:left w:type="dxa" w:w="41"/>
          <w:right w:type="dxa" w:w="17"/>
        </w:tblCellMar>
      </w:tblPr>
      <w:tblGrid>
        <w:gridCol w:w="1011"/>
        <w:gridCol w:w="12838"/>
        <w:gridCol w:w="4122"/>
      </w:tblGrid>
      <w:tr>
        <w:trPr>
          <w:trHeight w:hRule="atLeast" w:val="36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D800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D9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производственные объекты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DA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610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DB00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DC00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контролируемых лиц, у которых в рамках проведения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DD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6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DE00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DF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0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E100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200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объектов контроля, при проведении в отношении которых контрольных (надзорных) мероприятий (проверок) с взаимодействием выявлены нарушения обязательных требований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E3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400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5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деятельность, действия (бездействие) граждан и организаций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6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700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8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E9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A00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B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производственные объекты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C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545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ED00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E000000">
            <w:pPr>
              <w:spacing w:after="0" w:line="264" w:lineRule="auto"/>
              <w:ind w:firstLine="0" w:left="0" w:right="12"/>
              <w:jc w:val="left"/>
              <w:rPr>
                <w:sz w:val="24"/>
              </w:rPr>
            </w:pPr>
            <w:r>
              <w:rPr>
                <w:sz w:val="24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EF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000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1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контрольных (надзорных) мероприятий (проверок) с взаимодействием, из них: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F2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3000000">
            <w:pPr>
              <w:spacing w:after="0" w:line="264" w:lineRule="auto"/>
              <w:ind w:firstLine="0" w:left="136" w:right="0"/>
              <w:jc w:val="left"/>
              <w:rPr>
                <w:sz w:val="24"/>
              </w:rPr>
            </w:pPr>
            <w:r>
              <w:rPr>
                <w:sz w:val="24"/>
              </w:rPr>
              <w:t>11.1.1.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400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5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600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7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специальных режимов государственного контроля (надзора)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8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10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F900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A00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мероприятий (проверок) с взаимодействием, при проведении которых выявлены нарушения обязательных требований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B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C00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D00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E00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FF00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00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01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10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02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03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актов о нарушении обязательных требований, составленных в рамках осуществления постоянного рейда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04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05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06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07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08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09010000">
            <w:pPr>
              <w:spacing w:after="0" w:line="264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мероприятий (проверок),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0A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0B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16.1.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0C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0D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10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0E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0F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административных наказаний, назначенных по итогам контрольных (надзорных) мероприятий (проверок) - всего, в том числе по видам наказаний: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0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1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2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3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4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17.2.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5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лишение специального права, предоставленного физическому лицу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6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7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17.3.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8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административный арест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9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1A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17.4.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1B010000">
            <w:pPr>
              <w:spacing w:after="0" w:line="264" w:lineRule="auto"/>
              <w:ind w:firstLine="0" w:left="111" w:right="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C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D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17.5.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E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дисквалификация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1F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4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0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17.6.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1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административное приостановление деятельности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2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3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17.7.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4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5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6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17.8.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7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административный штраф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8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9010000">
            <w:pPr>
              <w:spacing w:after="0" w:line="264" w:lineRule="auto"/>
              <w:ind w:firstLine="0" w:left="136" w:right="0"/>
              <w:jc w:val="left"/>
              <w:rPr>
                <w:sz w:val="24"/>
              </w:rPr>
            </w:pPr>
            <w:r>
              <w:rPr>
                <w:sz w:val="24"/>
              </w:rPr>
              <w:t>17.8.1.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A01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на гражданина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B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C010000">
            <w:pPr>
              <w:spacing w:after="0" w:line="264" w:lineRule="auto"/>
              <w:ind w:firstLine="0" w:left="136" w:right="0"/>
              <w:jc w:val="left"/>
              <w:rPr>
                <w:sz w:val="24"/>
              </w:rPr>
            </w:pPr>
            <w:r>
              <w:rPr>
                <w:sz w:val="24"/>
              </w:rPr>
              <w:t>17.8.2.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D01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на должностное лицо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E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2F010000">
            <w:pPr>
              <w:spacing w:after="0" w:line="264" w:lineRule="auto"/>
              <w:ind w:firstLine="0" w:left="136" w:right="0"/>
              <w:jc w:val="left"/>
              <w:rPr>
                <w:sz w:val="24"/>
              </w:rPr>
            </w:pPr>
            <w:r>
              <w:rPr>
                <w:sz w:val="24"/>
              </w:rPr>
              <w:t>17.8.3.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001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на индивидуального предпринимателя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1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2010000">
            <w:pPr>
              <w:spacing w:after="0" w:line="264" w:lineRule="auto"/>
              <w:ind w:firstLine="0" w:left="136" w:right="0"/>
              <w:jc w:val="left"/>
              <w:rPr>
                <w:sz w:val="24"/>
              </w:rPr>
            </w:pPr>
            <w:r>
              <w:rPr>
                <w:sz w:val="24"/>
              </w:rPr>
              <w:t>17.8.4.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301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на юридическое лицо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4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5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6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Общая сумма наложенных административных штрафов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7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8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18.1.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9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на гражданина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A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B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18.2.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C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на должностное лицо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D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E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18.3.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3F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на индивидуального предпринимателя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0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1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18.4.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2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на юридическое лицо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3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4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5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Общая сумма уплаченных (взысканных) административных штрафов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6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47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8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мероприятий, результаты которых были отменены в рамках досудебного обжалования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9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A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20.1.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B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полностью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C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4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D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20.2.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E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частично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4F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50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1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мероприятий, результаты которых обжаловались в досудебном порядке, и по которым контролируемыми лицами поданы исковые заявления в суд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2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3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21.1.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4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5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56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7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мероприятий (проверок), результаты которых обжаловались в судебном порядке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bottom"/>
          </w:tcPr>
          <w:p w14:paraId="58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9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22.1.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A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решений, принятых по результатам контрольных (надзорных) мероприятий (проверок), из них: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B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C010000">
            <w:pPr>
              <w:spacing w:after="0" w:line="264" w:lineRule="auto"/>
              <w:ind w:firstLine="0" w:left="136" w:right="0"/>
              <w:jc w:val="left"/>
              <w:rPr>
                <w:sz w:val="24"/>
              </w:rPr>
            </w:pPr>
            <w:r>
              <w:rPr>
                <w:sz w:val="24"/>
              </w:rPr>
              <w:t>22.1.1.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D01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E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5F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0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1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6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2010000">
            <w:pPr>
              <w:spacing w:after="0" w:line="264" w:lineRule="auto"/>
              <w:ind w:firstLine="0" w:left="136" w:right="0"/>
              <w:jc w:val="left"/>
              <w:rPr>
                <w:sz w:val="24"/>
              </w:rPr>
            </w:pPr>
            <w:r>
              <w:rPr>
                <w:sz w:val="24"/>
              </w:rPr>
              <w:t>22.2.1.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301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4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65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6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мероприятий (проверок), результаты которых были признаны недействительными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7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8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23.1.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9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по решению суда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A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B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23.2.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C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по представлению органов прокуратуры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D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10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6E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23.3.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6F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0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91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71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2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мероприятий (проверок), 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3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91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74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5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мероприятий (проверок),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6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10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77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8010000">
            <w:pPr>
              <w:spacing w:after="0" w:line="264" w:lineRule="auto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Количество контрольных (надзорных) мероприятий (проверок),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9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7A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B010000">
            <w:pPr>
              <w:spacing w:after="0" w:line="264" w:lineRule="auto"/>
              <w:ind w:firstLine="0" w:left="0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Количество контрольных (надзорных) мероприятий (проверок), заявленных в проект плана проведения плановых контрольных (надзорных) мероприятий (проверок) на отчетный год - всего, в том числе: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C010000">
            <w:pPr>
              <w:spacing w:after="160" w:line="264" w:lineRule="auto"/>
              <w:ind w:firstLine="0" w:left="0" w:right="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54</w:t>
            </w:r>
            <w:bookmarkStart w:id="1" w:name="_GoBack"/>
            <w:bookmarkEnd w:id="1"/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D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E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исключенных по предложению органов прокуратуры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7F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80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1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контрольных (надзорных) мероприятий (проверок), включенных в утвержденный план проведения плановых контрольных (надзорных) мероприятий (проверок) на отчетный год - всего, в том числе: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2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3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28.1.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4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включенных по предложению органов прокуратуры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5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10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86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7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Количество внеплановых контрольных (надзорных) мероприятий (проверок),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8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9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A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 которым получен отказ в согласовании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B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8C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D010000">
            <w:pPr>
              <w:spacing w:after="0" w:line="264" w:lineRule="auto"/>
              <w:ind w:firstLine="0" w:left="0" w:right="17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E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8F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30.1.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0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на начало отчетного года, из них: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91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2010000">
            <w:pPr>
              <w:spacing w:after="0" w:line="264" w:lineRule="auto"/>
              <w:ind w:firstLine="0" w:left="136" w:right="0"/>
              <w:jc w:val="left"/>
              <w:rPr>
                <w:sz w:val="24"/>
              </w:rPr>
            </w:pPr>
            <w:r>
              <w:rPr>
                <w:sz w:val="24"/>
              </w:rPr>
              <w:t>30.1.1.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301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занятых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4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5010000">
            <w:pPr>
              <w:spacing w:after="0" w:line="264" w:lineRule="auto"/>
              <w:ind w:firstLine="0" w:left="0" w:right="24"/>
              <w:jc w:val="center"/>
              <w:rPr>
                <w:sz w:val="24"/>
              </w:rPr>
            </w:pPr>
            <w:r>
              <w:rPr>
                <w:sz w:val="24"/>
              </w:rPr>
              <w:t>30.2.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6010000">
            <w:pPr>
              <w:spacing w:after="0" w:line="264" w:lineRule="auto"/>
              <w:ind w:firstLine="0" w:left="303" w:right="0"/>
              <w:jc w:val="left"/>
              <w:rPr>
                <w:sz w:val="24"/>
              </w:rPr>
            </w:pPr>
            <w:r>
              <w:rPr>
                <w:sz w:val="24"/>
              </w:rPr>
              <w:t>на конец отчетного года, из них: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7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8010000">
            <w:pPr>
              <w:spacing w:after="0" w:line="264" w:lineRule="auto"/>
              <w:ind w:firstLine="0" w:left="136" w:right="0"/>
              <w:jc w:val="left"/>
              <w:rPr>
                <w:sz w:val="24"/>
              </w:rPr>
            </w:pPr>
            <w:r>
              <w:rPr>
                <w:sz w:val="24"/>
              </w:rPr>
              <w:t>30.2.1.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9010000">
            <w:pPr>
              <w:spacing w:after="0" w:line="264" w:lineRule="auto"/>
              <w:ind w:firstLine="0" w:left="758" w:right="0"/>
              <w:jc w:val="left"/>
              <w:rPr>
                <w:sz w:val="24"/>
              </w:rPr>
            </w:pPr>
            <w:r>
              <w:rPr>
                <w:sz w:val="24"/>
              </w:rPr>
              <w:t>занятых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A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609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9B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C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Объем финансовых средств, выделяемых в отчетном периоде из бюджетов всех уровней на выполнение функций по контролю (надзору)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D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3778176</w:t>
            </w:r>
          </w:p>
        </w:tc>
      </w:tr>
      <w:tr>
        <w:trPr>
          <w:trHeight w:hRule="atLeast" w:val="610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  <w:vAlign w:val="center"/>
          </w:tcPr>
          <w:p w14:paraId="9E010000">
            <w:pPr>
              <w:spacing w:after="0" w:line="264" w:lineRule="auto"/>
              <w:ind w:firstLine="0" w:left="0" w:right="2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9F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финансовых средств, выделяемых в отчетном периоде из бюджетов всех уровней на финансирование участия экспертных организаций и экспертов в проведении проверок </w:t>
            </w:r>
          </w:p>
        </w:tc>
        <w:tc>
          <w:tcPr>
            <w:tcW w:type="dxa" w:w="412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right w:type="dxa" w:w="17"/>
            </w:tcMar>
          </w:tcPr>
          <w:p w14:paraId="A0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A1010000">
      <w:pPr>
        <w:spacing w:after="0" w:line="264" w:lineRule="auto"/>
        <w:ind w:firstLine="0" w:left="-1440" w:right="402"/>
        <w:jc w:val="left"/>
      </w:pPr>
    </w:p>
    <w:tbl>
      <w:tblPr>
        <w:tblStyle w:val="Style_1"/>
        <w:tblInd w:type="dxa" w:w="907"/>
        <w:tblLayout w:type="fixed"/>
        <w:tblCellMar>
          <w:top w:type="dxa" w:w="20"/>
          <w:left w:type="dxa" w:w="41"/>
          <w:bottom w:type="dxa" w:w="17"/>
          <w:right w:type="dxa" w:w="39"/>
        </w:tblCellMar>
      </w:tblPr>
      <w:tblGrid>
        <w:gridCol w:w="1011"/>
        <w:gridCol w:w="12838"/>
        <w:gridCol w:w="4093"/>
      </w:tblGrid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bottom w:type="dxa" w:w="17"/>
              <w:right w:type="dxa" w:w="39"/>
            </w:tcMar>
          </w:tcPr>
          <w:p w14:paraId="A2010000">
            <w:pPr>
              <w:spacing w:after="0" w:line="264" w:lineRule="auto"/>
              <w:ind w:firstLine="0" w:left="1" w:right="0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bottom w:type="dxa" w:w="17"/>
              <w:right w:type="dxa" w:w="39"/>
            </w:tcMar>
          </w:tcPr>
          <w:p w14:paraId="A3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type="dxa" w:w="4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bottom w:type="dxa" w:w="17"/>
              <w:right w:type="dxa" w:w="39"/>
            </w:tcMar>
            <w:vAlign w:val="bottom"/>
          </w:tcPr>
          <w:p w14:paraId="A4010000">
            <w:pPr>
              <w:spacing w:after="16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bottom w:type="dxa" w:w="17"/>
              <w:right w:type="dxa" w:w="39"/>
            </w:tcMar>
          </w:tcPr>
          <w:p w14:paraId="A5010000">
            <w:pPr>
              <w:spacing w:after="0" w:line="264" w:lineRule="auto"/>
              <w:ind w:firstLine="0" w:left="1" w:right="0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bottom w:type="dxa" w:w="17"/>
              <w:right w:type="dxa" w:w="39"/>
            </w:tcMar>
          </w:tcPr>
          <w:p w14:paraId="A6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type="dxa" w:w="4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bottom w:type="dxa" w:w="17"/>
              <w:right w:type="dxa" w:w="39"/>
            </w:tcMar>
            <w:vAlign w:val="center"/>
          </w:tcPr>
          <w:p w14:paraId="A7010000">
            <w:pPr>
              <w:ind w:firstLine="99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осуществлении регионального государственного надзора в области защиты</w:t>
            </w:r>
            <w:r>
              <w:rPr>
                <w:rFonts w:ascii="Times New Roman" w:hAnsi="Times New Roman"/>
                <w:sz w:val="24"/>
              </w:rPr>
              <w:t xml:space="preserve"> населения и территорий от чрезвычайных ситуаций на территории Камчатского края используются ключевые показатели.</w:t>
            </w:r>
            <w:r>
              <w:rPr>
                <w:rFonts w:ascii="Times New Roman" w:hAnsi="Times New Roman"/>
                <w:sz w:val="24"/>
              </w:rPr>
              <w:t xml:space="preserve"> Ключевым показателем регионального государственного надзора является относительный ущерб охраняемым законом ценностям, причиненный в рамках одной чрезвычайной ситуации, возникшей в здании, строении, сооружении, помещении и на территории, которые используются контролируемым лицом при осуществлении деятельности.</w:t>
            </w:r>
          </w:p>
          <w:p w14:paraId="A8010000">
            <w:pPr>
              <w:ind w:firstLine="993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Ключевой показатель рассчитывается по формуле:</w:t>
            </w:r>
          </w:p>
          <w:p w14:paraId="A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4"/>
              </w:rPr>
              <w:drawing>
                <wp:inline>
                  <wp:extent cx="1152525" cy="8782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152525" cy="8782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, где</w:t>
            </w:r>
          </w:p>
          <w:p w14:paraId="A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Утг</w:t>
            </w:r>
            <w:r>
              <w:rPr>
                <w:rFonts w:ascii="Times New Roman" w:hAnsi="Times New Roman"/>
                <w:sz w:val="24"/>
              </w:rPr>
              <w:t xml:space="preserve"> - материальный ущерб, причиненный в результате всех чрезвычайных ситуаций, возникших в зданиях, строениях, сооружениях, помещениях и на территориях, которые используются контролируемыми лицами при осуществлении деятельности, в текущем году, млн. рублей;</w:t>
            </w:r>
          </w:p>
          <w:p w14:paraId="AB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ЧСТГ - количество чрезвычайных ситуаций, возникших в зданиях, строениях, сооружениях, помещениях и на территориях, которые используются контролируемыми лицами при осуществлении деятельности, в текущем году, единиц;</w:t>
            </w:r>
          </w:p>
          <w:p w14:paraId="AC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Уср</w:t>
            </w:r>
            <w:r>
              <w:rPr>
                <w:rFonts w:ascii="Times New Roman" w:hAnsi="Times New Roman"/>
                <w:sz w:val="24"/>
              </w:rPr>
              <w:t xml:space="preserve"> - материальный ущерб, причиненный в результате всех чрезвычайных ситуаций, возникших в зданиях, строениях, сооружениях, помещениях и на территориях, которые используются контролируемыми лицами при осуществлении деятельности, в среднем за последние 10 лет, млн. рублей;</w:t>
            </w:r>
          </w:p>
          <w:p w14:paraId="AD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ЧСср</w:t>
            </w:r>
            <w:r>
              <w:rPr>
                <w:rFonts w:ascii="Times New Roman" w:hAnsi="Times New Roman"/>
                <w:sz w:val="24"/>
              </w:rPr>
              <w:t xml:space="preserve"> - количество чрезвычайных ситуаций, возникших в зданиях, строениях, сооружениях, помещениях и на территориях, используемых контролируемыми лицами при осуществлении деятельности, в среднем за последние 10 лет, единиц;</w:t>
            </w:r>
          </w:p>
          <w:p w14:paraId="AE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Птг</w:t>
            </w:r>
            <w:r>
              <w:rPr>
                <w:rFonts w:ascii="Times New Roman" w:hAnsi="Times New Roman"/>
                <w:sz w:val="24"/>
              </w:rPr>
              <w:t xml:space="preserve"> - количество погибших людей при всех чрезвычайных ситуациях, возникших в зданиях, строениях, сооружениях, помещениях и на территориях, которые используются контролируемыми лицами при осуществлении деятельности, в текущем году, человек;</w:t>
            </w:r>
          </w:p>
          <w:p w14:paraId="AF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Пср</w:t>
            </w:r>
            <w:r>
              <w:rPr>
                <w:rFonts w:ascii="Times New Roman" w:hAnsi="Times New Roman"/>
                <w:sz w:val="24"/>
              </w:rPr>
              <w:t xml:space="preserve"> - количество погибших людей при всех чрезвычайных ситуациях, возникших в зданиях, строениях, сооружениях, помещениях и на территориях, которые используются контролируемыми лицами при осуществлении деятельности, в среднем за последние 10 лет, человек.</w:t>
            </w:r>
          </w:p>
          <w:p w14:paraId="B0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Целевым значением ключевого показателя регионального государственного надзора является снижение в отчетном году на 1,4 процента значения ключевого показателя регионального государственного надзора по отношению к предыдущему году.</w:t>
            </w:r>
          </w:p>
          <w:p w14:paraId="B1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состоянию на 31.12.2022:</w:t>
            </w:r>
          </w:p>
          <w:p w14:paraId="B2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0;</w:t>
            </w:r>
          </w:p>
          <w:p w14:paraId="B3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ЧСТГ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0;</w:t>
            </w:r>
          </w:p>
          <w:p w14:paraId="B4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0;</w:t>
            </w:r>
          </w:p>
          <w:p w14:paraId="B5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ЧСср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0;</w:t>
            </w:r>
          </w:p>
          <w:p w14:paraId="B6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Птг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0;</w:t>
            </w:r>
          </w:p>
          <w:p w14:paraId="B7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Пср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0.</w:t>
            </w:r>
          </w:p>
          <w:p w14:paraId="B8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отношению к 2021 году ключевой показатель не изменился </w:t>
            </w:r>
            <w:r>
              <w:rPr>
                <w:sz w:val="24"/>
              </w:rPr>
              <w:t xml:space="preserve"> в связи с </w:t>
            </w:r>
            <w:r>
              <w:rPr>
                <w:sz w:val="24"/>
              </w:rPr>
              <w:t>отсутствием чрезвычайных ситуаций, возникших в зданиях, строениях,</w:t>
            </w:r>
            <w:r>
              <w:rPr>
                <w:sz w:val="24"/>
              </w:rPr>
              <w:t xml:space="preserve">сооружениях, помещениях и на территориях, которые используются </w:t>
            </w:r>
            <w:r>
              <w:rPr>
                <w:sz w:val="24"/>
              </w:rPr>
              <w:t xml:space="preserve">контролируемыми лицами при осуществлении деятельности, в текущем году. </w:t>
            </w:r>
          </w:p>
          <w:p w14:paraId="B9010000">
            <w:pPr>
              <w:ind w:firstLine="851" w:left="0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Данный показатель обусловлен качественным планированием и </w:t>
            </w:r>
            <w:r>
              <w:rPr>
                <w:sz w:val="24"/>
              </w:rPr>
              <w:t xml:space="preserve">проведением профилактических мероприятий, согласно утвержденной </w:t>
            </w:r>
            <w:r>
              <w:rPr>
                <w:sz w:val="24"/>
              </w:rPr>
              <w:t xml:space="preserve">Программы профилактики нарушений обязательных требований в области </w:t>
            </w:r>
            <w:r>
              <w:rPr>
                <w:sz w:val="24"/>
              </w:rPr>
              <w:t xml:space="preserve">защиты населения и территорий от чрезвычайных ситуаций природного и </w:t>
            </w:r>
            <w:r>
              <w:rPr>
                <w:sz w:val="24"/>
              </w:rPr>
              <w:t>техногенного характера на территории Камчатского края на 2022 год.</w:t>
            </w:r>
          </w:p>
        </w:tc>
      </w:tr>
      <w:tr>
        <w:trPr>
          <w:trHeight w:hRule="atLeast" w:val="303"/>
        </w:trPr>
        <w:tc>
          <w:tcPr>
            <w:tcW w:type="dxa" w:w="101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bottom w:type="dxa" w:w="17"/>
              <w:right w:type="dxa" w:w="39"/>
            </w:tcMar>
          </w:tcPr>
          <w:p w14:paraId="BA010000">
            <w:pPr>
              <w:spacing w:after="0" w:line="264" w:lineRule="auto"/>
              <w:ind w:firstLine="0" w:left="1" w:right="0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type="dxa" w:w="128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bottom w:type="dxa" w:w="17"/>
              <w:right w:type="dxa" w:w="39"/>
            </w:tcMar>
          </w:tcPr>
          <w:p w14:paraId="BB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type="dxa" w:w="4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bottom w:type="dxa" w:w="17"/>
              <w:right w:type="dxa" w:w="39"/>
            </w:tcMar>
            <w:vAlign w:val="center"/>
          </w:tcPr>
          <w:p w14:paraId="BC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Государственная функция 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 осуществлению регионального государственного надзора в 2022 году реализована Министерством в полном объеме и в установленные законодательством сроки, что </w:t>
            </w:r>
            <w:r>
              <w:rPr>
                <w:color w:val="000000"/>
                <w:sz w:val="24"/>
              </w:rPr>
              <w:t xml:space="preserve"> позволяет сделать следующие выводы: </w:t>
            </w:r>
          </w:p>
          <w:p w14:paraId="BD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плановые проверки юридических лиц и индивидуальных предпринимателей, запланированных на 20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 xml:space="preserve"> год до введения моратория, выполнены; </w:t>
            </w:r>
          </w:p>
          <w:p w14:paraId="BE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соблюдены установленные сроки проведения проверок; </w:t>
            </w:r>
          </w:p>
          <w:p w14:paraId="BF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обеспечен контроль за исполнением предписаний и устранением нарушений обязательных требований по результатам проверок; </w:t>
            </w:r>
          </w:p>
          <w:p w14:paraId="C0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не допущено гибели и травмирования населения в результате чрезвычайных ситуаций природного и техногенного характера </w:t>
            </w:r>
            <w:r>
              <w:rPr>
                <w:color w:val="000000"/>
                <w:sz w:val="24"/>
              </w:rPr>
              <w:t xml:space="preserve">на </w:t>
            </w:r>
            <w:r>
              <w:rPr>
                <w:color w:val="000000"/>
                <w:sz w:val="24"/>
              </w:rPr>
              <w:t xml:space="preserve">поднадзорных </w:t>
            </w:r>
            <w:r>
              <w:rPr>
                <w:color w:val="000000"/>
                <w:sz w:val="24"/>
              </w:rPr>
              <w:t>объектах</w:t>
            </w:r>
            <w:r>
              <w:rPr>
                <w:color w:val="000000"/>
                <w:sz w:val="24"/>
              </w:rPr>
              <w:t xml:space="preserve">; </w:t>
            </w:r>
          </w:p>
          <w:p w14:paraId="C1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не причинен ущерб экономике Камчатского края и гражданам в результате произошедших чрезвычайных ситуаций природного и природного и техногенного характера на поднадзорных объектах.</w:t>
            </w:r>
          </w:p>
          <w:p w14:paraId="C2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Министерством по результатам профилактических мероприятий осуществляется постоянный мониторинг наиболее возможных нарушений обязательных требований в области защиты населения и территорий от чрезвычайных ситуаций природного и техногенного характера целью определения направлений оказания методической и практической помощи поднадзорным объектам. </w:t>
            </w:r>
          </w:p>
          <w:p w14:paraId="C3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рамках решения этой проблемы для юридических лиц и индивидуальных предпринимателей М</w:t>
            </w:r>
            <w:r>
              <w:rPr>
                <w:color w:val="000000"/>
                <w:sz w:val="24"/>
              </w:rPr>
              <w:t xml:space="preserve">инистерством </w:t>
            </w:r>
            <w:r>
              <w:rPr>
                <w:color w:val="000000"/>
                <w:sz w:val="24"/>
              </w:rPr>
              <w:t xml:space="preserve">разработаны соответствующие методические рекомендации, руководства и проверочные листы. </w:t>
            </w:r>
          </w:p>
          <w:p w14:paraId="C4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Анализ проведенных мероприятий в 20</w:t>
            </w:r>
            <w:r>
              <w:rPr>
                <w:color w:val="000000"/>
                <w:sz w:val="24"/>
              </w:rPr>
              <w:t>22</w:t>
            </w:r>
            <w:r>
              <w:rPr>
                <w:color w:val="000000"/>
                <w:sz w:val="24"/>
              </w:rPr>
              <w:t xml:space="preserve"> году отмечает повышение компетентности должностных лиц органов местного самоуправления и юридических лиц, на которых возложена обязанность соблюдения требований законодательства Российской Федерации в области защиты населения и территорий от чрезвычайных ситуаций природного и техногенного характера. </w:t>
            </w:r>
          </w:p>
          <w:p w14:paraId="C5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процессе осуществления регионального государственного надзора Министерством проводится постоянный мониторинг нормативных правовых актов Российской Федерации и Камчатского края, содержащих обязательные требования и устанавливающих порядок осуществления регионального государственного надзора в соответствующей сфере. </w:t>
            </w:r>
          </w:p>
          <w:p w14:paraId="C6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настоящее время нормативная правовая база позволяет в полной мере исполнять обязательные требования, соблюдение которых оценивается при осуществлении регионального государственного надзора в области в области защиты населения и территорий от чрезвычайных ситуаций природного и техногенного характера.</w:t>
            </w:r>
          </w:p>
          <w:p w14:paraId="C7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Ожидаемыми качественными результатами работы Министерства при осуществлении государственного контроля (надзора) в 2023</w:t>
            </w:r>
            <w:r>
              <w:rPr>
                <w:color w:val="000000"/>
                <w:sz w:val="24"/>
              </w:rPr>
              <w:t xml:space="preserve"> году являются: </w:t>
            </w:r>
          </w:p>
          <w:p w14:paraId="C8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повышение эффективности работы по предупреждению и ликвидации чрезвычайных ситуаций природного и техногенного характера органами местного самоуправления, юридическими лицами, индивидуальными предпринимателями, входящими в состав Камчатской территориальной подсистемы единой государственной системы предупреждения и ликвидации чрезвычайных ситуаций; </w:t>
            </w:r>
          </w:p>
          <w:p w14:paraId="C9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улучшение информационного обеспечения по предупреждению чрезвычайных ситуаций природного и техногенного характера </w:t>
            </w:r>
            <w:r>
              <w:rPr>
                <w:color w:val="000000"/>
                <w:sz w:val="24"/>
              </w:rPr>
              <w:t>объектов над</w:t>
            </w:r>
            <w:r>
              <w:rPr>
                <w:color w:val="000000"/>
                <w:sz w:val="24"/>
              </w:rPr>
              <w:t xml:space="preserve">зора; </w:t>
            </w:r>
          </w:p>
          <w:p w14:paraId="CA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недопущение гибели и травмирования населения в Камчатском крае; </w:t>
            </w:r>
          </w:p>
          <w:p w14:paraId="CB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минимизация ущерба, причиняемого экономике Камчатского края и гражданам в результате чрезвычайных ситуаций природного и техногенного характера; </w:t>
            </w:r>
          </w:p>
          <w:p w14:paraId="CC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повышение прозрачности деятельности отдела регионального государственного надзора Министерства при осуществлении регионального государственного надзора; </w:t>
            </w:r>
          </w:p>
          <w:p w14:paraId="CD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предупреждение нарушений </w:t>
            </w:r>
            <w:r>
              <w:rPr>
                <w:color w:val="000000"/>
                <w:sz w:val="24"/>
              </w:rPr>
              <w:t>объектами</w:t>
            </w:r>
            <w:r>
              <w:rPr>
                <w:color w:val="000000"/>
                <w:sz w:val="24"/>
              </w:rPr>
              <w:t xml:space="preserve"> надзора обязательных требований, включая устранение причин, факторов и условий, способствующих нарушениям обязательных требований; </w:t>
            </w:r>
          </w:p>
          <w:p w14:paraId="CE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 мотивация к добросовестному исполнению обязательных требований </w:t>
            </w:r>
            <w:r>
              <w:rPr>
                <w:color w:val="000000"/>
                <w:sz w:val="24"/>
              </w:rPr>
              <w:t>объектов</w:t>
            </w:r>
            <w:r>
              <w:rPr>
                <w:color w:val="000000"/>
                <w:sz w:val="24"/>
              </w:rPr>
              <w:t xml:space="preserve"> надзора; </w:t>
            </w:r>
          </w:p>
          <w:p w14:paraId="CF010000">
            <w:pPr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- снижение уровня ущерба охраняемым законом ценностям.</w:t>
            </w:r>
          </w:p>
          <w:p w14:paraId="D0010000">
            <w:pPr>
              <w:spacing w:after="0" w:line="240" w:lineRule="auto"/>
              <w:ind w:firstLine="709" w:left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Приведенные выше показатели дают основание признать деятельность Министерства по организации и осуществлению регионального государственного надзора в области защиты населения и территорий от чрезвычайных ситуаций природного и техногенного характера удовлетворительной.</w:t>
            </w:r>
          </w:p>
        </w:tc>
      </w:tr>
      <w:tr>
        <w:trPr>
          <w:trHeight w:hRule="atLeast" w:val="1365"/>
        </w:trPr>
        <w:tc>
          <w:tcPr>
            <w:tcW w:type="dxa" w:w="13849"/>
            <w:gridSpan w:val="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bottom w:type="dxa" w:w="17"/>
              <w:right w:type="dxa" w:w="39"/>
            </w:tcMar>
            <w:vAlign w:val="center"/>
          </w:tcPr>
          <w:p w14:paraId="D1010000">
            <w:pPr>
              <w:spacing w:after="0" w:line="264" w:lineRule="auto"/>
              <w:ind w:firstLine="0" w:left="0" w:right="7989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Руководитель (заместитель руководителя)                                                         контрольного органа, учреждения, </w:t>
            </w:r>
          </w:p>
          <w:p w14:paraId="D2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ответственного за подготовку доклада                                                                                            </w:t>
            </w:r>
            <w:r>
              <w:rPr>
                <w:sz w:val="24"/>
              </w:rPr>
              <w:t xml:space="preserve">Лебедев Сергей Владимирович  </w:t>
            </w:r>
          </w:p>
          <w:p w14:paraId="D3010000">
            <w:pPr>
              <w:spacing w:after="0" w:line="264" w:lineRule="auto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 xml:space="preserve">Ф.И.О.) </w:t>
            </w:r>
          </w:p>
        </w:tc>
        <w:tc>
          <w:tcPr>
            <w:tcW w:type="dxa" w:w="40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20"/>
              <w:left w:type="dxa" w:w="41"/>
              <w:bottom w:type="dxa" w:w="17"/>
              <w:right w:type="dxa" w:w="39"/>
            </w:tcMar>
            <w:vAlign w:val="bottom"/>
          </w:tcPr>
          <w:p w14:paraId="D4010000">
            <w:pPr>
              <w:spacing w:after="0" w:line="264" w:lineRule="auto"/>
              <w:ind w:firstLine="0" w:left="0" w:right="0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</w:tr>
    </w:tbl>
    <w:p w14:paraId="D5010000">
      <w:pPr>
        <w:sectPr>
          <w:headerReference r:id="rId5" w:type="default"/>
          <w:headerReference r:id="rId2" w:type="even"/>
          <w:pgSz w:h="31342" w:orient="portrait" w:w="22159"/>
          <w:pgMar w:bottom="1440" w:footer="720" w:gutter="0" w:header="720" w:left="1440" w:right="1440" w:top="1431"/>
        </w:sectPr>
      </w:pPr>
    </w:p>
    <w:sectPr>
      <w:headerReference r:id="rId3" w:type="first"/>
      <w:headerReference r:id="rId1" w:type="even"/>
      <w:headerReference r:id="rId4" w:type="default"/>
      <w:pgSz w:h="16838" w:orient="portrait" w:w="11906"/>
      <w:pgMar w:bottom="895" w:footer="720" w:gutter="0" w:header="720" w:left="1133" w:right="847" w:top="113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spacing w:after="0" w:line="264" w:lineRule="auto"/>
      <w:ind w:firstLine="0" w:left="0" w:right="3"/>
      <w:jc w:val="center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spacing w:after="160" w:line="264" w:lineRule="auto"/>
      <w:ind w:firstLine="0" w:left="0" w:right="0"/>
      <w:jc w:val="lef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spacing w:after="160" w:line="264" w:lineRule="auto"/>
      <w:ind w:firstLine="0" w:left="0" w:right="0"/>
      <w:jc w:val="left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spacing w:after="0" w:line="348" w:lineRule="auto"/>
      <w:ind w:firstLine="3843" w:left="1058" w:right="4845"/>
      <w:jc w:val="left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t xml:space="preserve"> 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rFonts w:ascii="Arial" w:hAnsi="Arial"/>
      </w:rPr>
      <w:t xml:space="preserve"> </w: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spacing w:after="160" w:line="264" w:lineRule="auto"/>
      <w:ind w:firstLine="0" w:left="0" w:right="0"/>
      <w:jc w:val="lef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39" w:line="252" w:lineRule="auto"/>
      <w:ind w:firstLine="698" w:left="0" w:right="4"/>
      <w:jc w:val="both"/>
    </w:pPr>
    <w:rPr>
      <w:rFonts w:ascii="Times New Roman" w:hAnsi="Times New Roman"/>
      <w:color w:val="000000"/>
      <w:sz w:val="28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2"/>
    <w:link w:val="Style_19_ch"/>
    <w:pPr>
      <w:spacing w:after="0" w:line="240" w:lineRule="auto"/>
      <w:ind/>
    </w:pPr>
    <w:rPr>
      <w:rFonts w:ascii="Segoe UI" w:hAnsi="Segoe UI"/>
      <w:sz w:val="18"/>
    </w:rPr>
  </w:style>
  <w:style w:styleId="Style_19_ch" w:type="character">
    <w:name w:val="Balloon Text"/>
    <w:basedOn w:val="Style_2_ch"/>
    <w:link w:val="Style_19"/>
    <w:rPr>
      <w:rFonts w:ascii="Segoe UI" w:hAnsi="Segoe UI"/>
      <w:sz w:val="1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Grid"/>
    <w:pPr>
      <w:spacing w:after="0" w:line="240" w:lineRule="auto"/>
      <w:ind/>
    </w:p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webSettings.xml" Type="http://schemas.openxmlformats.org/officeDocument/2006/relationships/webSettings"/>
  <Relationship Id="rId10" Target="stylesWithEffects.xml" Type="http://schemas.microsoft.com/office/2007/relationships/stylesWithEffects"/>
  <Relationship Id="rId9" Target="styles.xml" Type="http://schemas.openxmlformats.org/officeDocument/2006/relationships/styles"/>
  <Relationship Id="rId8" Target="settings.xml" Type="http://schemas.openxmlformats.org/officeDocument/2006/relationships/settings"/>
  <Relationship Id="rId7" Target="fontTable.xml" Type="http://schemas.openxmlformats.org/officeDocument/2006/relationships/fontTable"/>
  <Relationship Id="rId6" Target="media/1.png" Type="http://schemas.openxmlformats.org/officeDocument/2006/relationships/image"/>
  <Relationship Id="rId5" Target="header5.xml" Type="http://schemas.openxmlformats.org/officeDocument/2006/relationships/header"/>
  <Relationship Id="rId4" Target="header4.xml" Type="http://schemas.openxmlformats.org/officeDocument/2006/relationships/header"/>
  <Relationship Id="rId12" Target="theme/theme1.xml" Type="http://schemas.openxmlformats.org/officeDocument/2006/relationships/theme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2023-03-13T21:14:59Z</dcterms:modified>
</cp:coreProperties>
</file>